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sz w:val="18"/>
        </w:rPr>
        <w:t>ф. 107</w:t>
      </w:r>
    </w:p>
    <w:p>
      <w:pPr>
        <w:spacing w:after="40"/>
        <w:jc w:val="center"/>
      </w:pPr>
      <w:r>
        <w:rPr>
          <w:b/>
          <w:color w:val="12345B"/>
          <w:sz w:val="30"/>
        </w:rPr>
        <w:t>ОПИСЬ ВЛОЖЕНИЯ</w:t>
      </w:r>
    </w:p>
    <w:p>
      <w:pPr>
        <w:jc w:val="center"/>
      </w:pPr>
      <w:r>
        <w:rPr>
          <w:i/>
          <w:sz w:val="20"/>
        </w:rPr>
        <w:t>к ценному почтовому отправлению</w:t>
      </w:r>
    </w:p>
    <w:p>
      <w:pPr>
        <w:spacing w:after="60"/>
      </w:pPr>
      <w:r>
        <w:rPr>
          <w:b/>
        </w:rPr>
        <w:t xml:space="preserve">Отправитель: </w:t>
      </w:r>
      <w:r>
        <w:t>________________________________________________________________________________</w:t>
      </w:r>
    </w:p>
    <w:p>
      <w:pPr>
        <w:spacing w:after="60"/>
      </w:pPr>
      <w:r>
        <w:rPr>
          <w:b/>
        </w:rPr>
        <w:t xml:space="preserve">Кому: </w:t>
      </w:r>
      <w:r>
        <w:t>________________________________________________________________________________</w:t>
      </w:r>
    </w:p>
    <w:p>
      <w:pPr>
        <w:spacing w:after="60"/>
      </w:pPr>
      <w:r>
        <w:rPr>
          <w:b/>
        </w:rPr>
        <w:t xml:space="preserve">Куда: </w:t>
      </w:r>
      <w:r>
        <w:t>________________________________________________________________________________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567"/>
            <w:vAlign w:val="center"/>
          </w:tcPr>
          <w:p>
            <w:pPr>
              <w:jc w:val="center"/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type="dxa" w:w="5953"/>
            <w:vAlign w:val="center"/>
          </w:tcPr>
          <w:p>
            <w:pPr>
              <w:jc w:val="center"/>
            </w:pPr>
            <w:r>
              <w:rPr>
                <w:b/>
                <w:sz w:val="18"/>
              </w:rPr>
              <w:t>Наименование предметов / документов</w:t>
            </w:r>
          </w:p>
        </w:tc>
        <w:tc>
          <w:tcPr>
            <w:tcW w:type="dxa" w:w="1134"/>
            <w:vAlign w:val="center"/>
          </w:tcPr>
          <w:p>
            <w:pPr>
              <w:jc w:val="center"/>
            </w:pPr>
            <w:r>
              <w:rPr>
                <w:b/>
                <w:sz w:val="18"/>
              </w:rPr>
              <w:t>Кол-во</w:t>
            </w:r>
          </w:p>
        </w:tc>
        <w:tc>
          <w:tcPr>
            <w:tcW w:type="dxa" w:w="2551"/>
            <w:vAlign w:val="center"/>
          </w:tcPr>
          <w:p>
            <w:pPr>
              <w:jc w:val="center"/>
            </w:pPr>
            <w:r>
              <w:rPr>
                <w:b/>
                <w:sz w:val="18"/>
              </w:rPr>
              <w:t>Объявленная ценность, руб.</w:t>
            </w:r>
          </w:p>
        </w:tc>
      </w:tr>
      <w:tr>
        <w:tc>
          <w:tcPr>
            <w:tcW w:type="dxa" w:w="567"/>
            <w:vAlign w:val="center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5953"/>
            <w:vAlign w:val="center"/>
          </w:tcPr>
          <w:p>
            <w:r/>
          </w:p>
        </w:tc>
        <w:tc>
          <w:tcPr>
            <w:tcW w:type="dxa" w:w="1134"/>
            <w:vAlign w:val="center"/>
          </w:tcPr>
          <w:p>
            <w:pPr>
              <w:jc w:val="center"/>
            </w:pPr>
            <w:r/>
          </w:p>
        </w:tc>
        <w:tc>
          <w:tcPr>
            <w:tcW w:type="dxa" w:w="2551"/>
            <w:vAlign w:val="center"/>
          </w:tcPr>
          <w:p>
            <w:pPr>
              <w:jc w:val="center"/>
            </w:pPr>
            <w:r/>
          </w:p>
        </w:tc>
      </w:tr>
      <w:tr>
        <w:tc>
          <w:tcPr>
            <w:tcW w:type="dxa" w:w="567"/>
            <w:vAlign w:val="center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5953"/>
            <w:vAlign w:val="center"/>
          </w:tcPr>
          <w:p>
            <w:r/>
          </w:p>
        </w:tc>
        <w:tc>
          <w:tcPr>
            <w:tcW w:type="dxa" w:w="1134"/>
            <w:vAlign w:val="center"/>
          </w:tcPr>
          <w:p>
            <w:pPr>
              <w:jc w:val="center"/>
            </w:pPr>
            <w:r/>
          </w:p>
        </w:tc>
        <w:tc>
          <w:tcPr>
            <w:tcW w:type="dxa" w:w="2551"/>
            <w:vAlign w:val="center"/>
          </w:tcPr>
          <w:p>
            <w:pPr>
              <w:jc w:val="center"/>
            </w:pPr>
            <w:r/>
          </w:p>
        </w:tc>
      </w:tr>
      <w:tr>
        <w:tc>
          <w:tcPr>
            <w:tcW w:type="dxa" w:w="567"/>
            <w:vAlign w:val="center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5953"/>
            <w:vAlign w:val="center"/>
          </w:tcPr>
          <w:p>
            <w:r/>
          </w:p>
        </w:tc>
        <w:tc>
          <w:tcPr>
            <w:tcW w:type="dxa" w:w="1134"/>
            <w:vAlign w:val="center"/>
          </w:tcPr>
          <w:p>
            <w:pPr>
              <w:jc w:val="center"/>
            </w:pPr>
            <w:r/>
          </w:p>
        </w:tc>
        <w:tc>
          <w:tcPr>
            <w:tcW w:type="dxa" w:w="2551"/>
            <w:vAlign w:val="center"/>
          </w:tcPr>
          <w:p>
            <w:pPr>
              <w:jc w:val="center"/>
            </w:pPr>
            <w:r/>
          </w:p>
        </w:tc>
      </w:tr>
      <w:tr>
        <w:tc>
          <w:tcPr>
            <w:tcW w:type="dxa" w:w="567"/>
            <w:vAlign w:val="center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5953"/>
            <w:vAlign w:val="center"/>
          </w:tcPr>
          <w:p>
            <w:r/>
          </w:p>
        </w:tc>
        <w:tc>
          <w:tcPr>
            <w:tcW w:type="dxa" w:w="1134"/>
            <w:vAlign w:val="center"/>
          </w:tcPr>
          <w:p>
            <w:pPr>
              <w:jc w:val="center"/>
            </w:pPr>
            <w:r/>
          </w:p>
        </w:tc>
        <w:tc>
          <w:tcPr>
            <w:tcW w:type="dxa" w:w="2551"/>
            <w:vAlign w:val="center"/>
          </w:tcPr>
          <w:p>
            <w:pPr>
              <w:jc w:val="center"/>
            </w:pPr>
            <w:r/>
          </w:p>
        </w:tc>
      </w:tr>
      <w:tr>
        <w:tc>
          <w:tcPr>
            <w:tcW w:type="dxa" w:w="567"/>
            <w:vAlign w:val="center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5953"/>
            <w:vAlign w:val="center"/>
          </w:tcPr>
          <w:p>
            <w:r/>
          </w:p>
        </w:tc>
        <w:tc>
          <w:tcPr>
            <w:tcW w:type="dxa" w:w="1134"/>
            <w:vAlign w:val="center"/>
          </w:tcPr>
          <w:p>
            <w:pPr>
              <w:jc w:val="center"/>
            </w:pPr>
            <w:r/>
          </w:p>
        </w:tc>
        <w:tc>
          <w:tcPr>
            <w:tcW w:type="dxa" w:w="2551"/>
            <w:vAlign w:val="center"/>
          </w:tcPr>
          <w:p>
            <w:pPr>
              <w:jc w:val="center"/>
            </w:pPr>
            <w:r/>
          </w:p>
        </w:tc>
      </w:tr>
      <w:tr>
        <w:tc>
          <w:tcPr>
            <w:tcW w:type="dxa" w:w="567"/>
            <w:vAlign w:val="center"/>
          </w:tcPr>
          <w:p>
            <w:pPr>
              <w:jc w:val="center"/>
            </w:pPr>
            <w:r>
              <w:t>6</w:t>
            </w:r>
          </w:p>
        </w:tc>
        <w:tc>
          <w:tcPr>
            <w:tcW w:type="dxa" w:w="5953"/>
            <w:vAlign w:val="center"/>
          </w:tcPr>
          <w:p>
            <w:r/>
          </w:p>
        </w:tc>
        <w:tc>
          <w:tcPr>
            <w:tcW w:type="dxa" w:w="1134"/>
            <w:vAlign w:val="center"/>
          </w:tcPr>
          <w:p>
            <w:pPr>
              <w:jc w:val="center"/>
            </w:pPr>
            <w:r/>
          </w:p>
        </w:tc>
        <w:tc>
          <w:tcPr>
            <w:tcW w:type="dxa" w:w="2551"/>
            <w:vAlign w:val="center"/>
          </w:tcPr>
          <w:p>
            <w:pPr>
              <w:jc w:val="center"/>
            </w:pPr>
            <w:r/>
          </w:p>
        </w:tc>
      </w:tr>
      <w:tr>
        <w:tc>
          <w:tcPr>
            <w:tcW w:type="dxa" w:w="567"/>
            <w:vAlign w:val="center"/>
          </w:tcPr>
          <w:p>
            <w:pPr>
              <w:jc w:val="center"/>
            </w:pPr>
            <w:r>
              <w:t>7</w:t>
            </w:r>
          </w:p>
        </w:tc>
        <w:tc>
          <w:tcPr>
            <w:tcW w:type="dxa" w:w="5953"/>
            <w:vAlign w:val="center"/>
          </w:tcPr>
          <w:p>
            <w:r/>
          </w:p>
        </w:tc>
        <w:tc>
          <w:tcPr>
            <w:tcW w:type="dxa" w:w="1134"/>
            <w:vAlign w:val="center"/>
          </w:tcPr>
          <w:p>
            <w:pPr>
              <w:jc w:val="center"/>
            </w:pPr>
            <w:r/>
          </w:p>
        </w:tc>
        <w:tc>
          <w:tcPr>
            <w:tcW w:type="dxa" w:w="2551"/>
            <w:vAlign w:val="center"/>
          </w:tcPr>
          <w:p>
            <w:pPr>
              <w:jc w:val="center"/>
            </w:pPr>
            <w:r/>
          </w:p>
        </w:tc>
      </w:tr>
      <w:tr>
        <w:tc>
          <w:tcPr>
            <w:tcW w:type="dxa" w:w="567"/>
            <w:vAlign w:val="center"/>
          </w:tcPr>
          <w:p>
            <w:pPr>
              <w:jc w:val="center"/>
            </w:pPr>
            <w:r>
              <w:t>8</w:t>
            </w:r>
          </w:p>
        </w:tc>
        <w:tc>
          <w:tcPr>
            <w:tcW w:type="dxa" w:w="5953"/>
            <w:vAlign w:val="center"/>
          </w:tcPr>
          <w:p>
            <w:r/>
          </w:p>
        </w:tc>
        <w:tc>
          <w:tcPr>
            <w:tcW w:type="dxa" w:w="1134"/>
            <w:vAlign w:val="center"/>
          </w:tcPr>
          <w:p>
            <w:pPr>
              <w:jc w:val="center"/>
            </w:pPr>
            <w:r/>
          </w:p>
        </w:tc>
        <w:tc>
          <w:tcPr>
            <w:tcW w:type="dxa" w:w="2551"/>
            <w:vAlign w:val="center"/>
          </w:tcPr>
          <w:p>
            <w:pPr>
              <w:jc w:val="center"/>
            </w:pPr>
            <w:r/>
          </w:p>
        </w:tc>
      </w:tr>
      <w:tr>
        <w:tc>
          <w:tcPr>
            <w:tcW w:type="dxa" w:w="567"/>
            <w:vAlign w:val="center"/>
          </w:tcPr>
          <w:p>
            <w:pPr>
              <w:jc w:val="center"/>
            </w:pPr>
            <w:r>
              <w:t>9</w:t>
            </w:r>
          </w:p>
        </w:tc>
        <w:tc>
          <w:tcPr>
            <w:tcW w:type="dxa" w:w="5953"/>
            <w:vAlign w:val="center"/>
          </w:tcPr>
          <w:p>
            <w:r/>
          </w:p>
        </w:tc>
        <w:tc>
          <w:tcPr>
            <w:tcW w:type="dxa" w:w="1134"/>
            <w:vAlign w:val="center"/>
          </w:tcPr>
          <w:p>
            <w:pPr>
              <w:jc w:val="center"/>
            </w:pPr>
            <w:r/>
          </w:p>
        </w:tc>
        <w:tc>
          <w:tcPr>
            <w:tcW w:type="dxa" w:w="2551"/>
            <w:vAlign w:val="center"/>
          </w:tcPr>
          <w:p>
            <w:pPr>
              <w:jc w:val="center"/>
            </w:pPr>
            <w:r/>
          </w:p>
        </w:tc>
      </w:tr>
      <w:tr>
        <w:tc>
          <w:tcPr>
            <w:tcW w:type="dxa" w:w="567"/>
            <w:vAlign w:val="center"/>
          </w:tcPr>
          <w:p>
            <w:pPr>
              <w:jc w:val="center"/>
            </w:pPr>
            <w:r>
              <w:t>10</w:t>
            </w:r>
          </w:p>
        </w:tc>
        <w:tc>
          <w:tcPr>
            <w:tcW w:type="dxa" w:w="5953"/>
            <w:vAlign w:val="center"/>
          </w:tcPr>
          <w:p>
            <w:r/>
          </w:p>
        </w:tc>
        <w:tc>
          <w:tcPr>
            <w:tcW w:type="dxa" w:w="1134"/>
            <w:vAlign w:val="center"/>
          </w:tcPr>
          <w:p>
            <w:pPr>
              <w:jc w:val="center"/>
            </w:pPr>
            <w:r/>
          </w:p>
        </w:tc>
        <w:tc>
          <w:tcPr>
            <w:tcW w:type="dxa" w:w="2551"/>
            <w:vAlign w:val="center"/>
          </w:tcPr>
          <w:p>
            <w:pPr>
              <w:jc w:val="center"/>
            </w:pPr>
            <w:r/>
          </w:p>
        </w:tc>
      </w:tr>
    </w:tbl>
    <w:p>
      <w:pPr>
        <w:spacing w:before="140"/>
      </w:pPr>
      <w:r>
        <w:rPr>
          <w:b/>
        </w:rPr>
        <w:t xml:space="preserve">Итого предметов: </w:t>
      </w:r>
      <w:r>
        <w:t xml:space="preserve">__________        </w:t>
      </w:r>
      <w:r>
        <w:rPr>
          <w:b/>
        </w:rPr>
        <w:t xml:space="preserve">Общая объявленная ценность: </w:t>
      </w:r>
      <w:r>
        <w:t>________________ руб.</w:t>
      </w:r>
    </w:p>
    <w:p>
      <w:pPr>
        <w:spacing w:before="100"/>
      </w:pPr>
      <w:r>
        <w:rPr>
          <w:b/>
        </w:rPr>
        <w:t xml:space="preserve">Отправитель: </w:t>
      </w:r>
      <w:r>
        <w:t>______________________________ / ______________________________</w:t>
      </w:r>
    </w:p>
    <w:p>
      <w:r>
        <w:rPr>
          <w:b/>
        </w:rPr>
        <w:t xml:space="preserve">Проверил сотрудник почтовой связи: </w:t>
      </w:r>
      <w:r>
        <w:t>______________________________</w:t>
      </w:r>
    </w:p>
    <w:p>
      <w:pPr>
        <w:spacing w:before="180"/>
        <w:jc w:val="center"/>
      </w:pPr>
      <w:r>
        <w:rPr>
          <w:color w:val="667080"/>
          <w:sz w:val="17"/>
        </w:rPr>
        <w:t>Рекомендуется заполнить в 2 экземплярах и передать отправление сотруднику Почты России в открытом виде для сверки.</w:t>
      </w:r>
    </w:p>
    <w:p>
      <w:pPr>
        <w:jc w:val="center"/>
      </w:pPr>
      <w:r>
        <w:rPr>
          <w:b/>
          <w:color w:val="B5842B"/>
          <w:sz w:val="16"/>
        </w:rPr>
        <w:t>Рабочий шаблон подготовлен проектом «Немезида» · alimonynemezida.ru</w:t>
      </w:r>
    </w:p>
    <w:sectPr w:rsidR="00FC693F" w:rsidRPr="0006063C" w:rsidSect="00034616">
      <w:pgSz w:w="12240" w:h="15840"/>
      <w:pgMar w:top="794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erif" w:hAnsi="Liberation Serif" w:eastAsia="Liberation Seri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